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25E8" w14:textId="77777777" w:rsidR="00CD4F65" w:rsidRPr="00203A16" w:rsidRDefault="00CD4F65">
      <w:pPr>
        <w:rPr>
          <w:b/>
          <w:bCs/>
        </w:rPr>
      </w:pPr>
      <w:r w:rsidRPr="00203A16">
        <w:rPr>
          <w:b/>
          <w:bCs/>
        </w:rPr>
        <w:t>Ryan Oelrich, Vice Chair</w:t>
      </w:r>
    </w:p>
    <w:p w14:paraId="419F1A38" w14:textId="3239D434" w:rsidR="00CD4F65" w:rsidRDefault="00CD4F65">
      <w:pPr>
        <w:rPr>
          <w:b/>
          <w:bCs/>
        </w:rPr>
      </w:pPr>
      <w:r w:rsidRPr="00203A16">
        <w:rPr>
          <w:b/>
          <w:bCs/>
        </w:rPr>
        <w:t xml:space="preserve"> West Hills Council Report of</w:t>
      </w:r>
      <w:r w:rsidR="000E5399">
        <w:rPr>
          <w:b/>
          <w:bCs/>
        </w:rPr>
        <w:t xml:space="preserve"> Outside</w:t>
      </w:r>
      <w:r w:rsidRPr="00203A16">
        <w:rPr>
          <w:b/>
          <w:bCs/>
        </w:rPr>
        <w:t xml:space="preserve"> Meetings</w:t>
      </w:r>
    </w:p>
    <w:p w14:paraId="5202D231" w14:textId="064E4CFC" w:rsidR="000E5399" w:rsidRPr="00203A16" w:rsidRDefault="000E5399">
      <w:pPr>
        <w:rPr>
          <w:b/>
          <w:bCs/>
        </w:rPr>
      </w:pPr>
      <w:r>
        <w:rPr>
          <w:b/>
          <w:bCs/>
        </w:rPr>
        <w:t>July &amp; August 2025</w:t>
      </w:r>
    </w:p>
    <w:tbl>
      <w:tblPr>
        <w:tblStyle w:val="TableGrid"/>
        <w:tblW w:w="0" w:type="auto"/>
        <w:tblLook w:val="04A0" w:firstRow="1" w:lastRow="0" w:firstColumn="1" w:lastColumn="0" w:noHBand="0" w:noVBand="1"/>
      </w:tblPr>
      <w:tblGrid>
        <w:gridCol w:w="419"/>
        <w:gridCol w:w="1052"/>
        <w:gridCol w:w="1768"/>
        <w:gridCol w:w="2285"/>
        <w:gridCol w:w="3826"/>
      </w:tblGrid>
      <w:tr w:rsidR="000E5399" w14:paraId="2E7E577B" w14:textId="2CA644D3" w:rsidTr="000E5399">
        <w:tc>
          <w:tcPr>
            <w:tcW w:w="445" w:type="dxa"/>
          </w:tcPr>
          <w:p w14:paraId="2E4F4A14" w14:textId="77777777" w:rsidR="00CD4F65" w:rsidRPr="00CD4F65" w:rsidRDefault="00CD4F65">
            <w:pPr>
              <w:rPr>
                <w:b/>
                <w:bCs/>
              </w:rPr>
            </w:pPr>
          </w:p>
        </w:tc>
        <w:tc>
          <w:tcPr>
            <w:tcW w:w="1063" w:type="dxa"/>
          </w:tcPr>
          <w:p w14:paraId="32D9B9C2" w14:textId="7EFF7CCE" w:rsidR="00CD4F65" w:rsidRPr="00CD4F65" w:rsidRDefault="00CD4F65">
            <w:pPr>
              <w:rPr>
                <w:b/>
                <w:bCs/>
              </w:rPr>
            </w:pPr>
            <w:r w:rsidRPr="00CD4F65">
              <w:rPr>
                <w:b/>
                <w:bCs/>
              </w:rPr>
              <w:t>Date</w:t>
            </w:r>
          </w:p>
        </w:tc>
        <w:tc>
          <w:tcPr>
            <w:tcW w:w="1768" w:type="dxa"/>
          </w:tcPr>
          <w:p w14:paraId="65B80ECE" w14:textId="2995E168" w:rsidR="00CD4F65" w:rsidRPr="00CD4F65" w:rsidRDefault="00CD4F65">
            <w:pPr>
              <w:rPr>
                <w:b/>
                <w:bCs/>
              </w:rPr>
            </w:pPr>
            <w:r w:rsidRPr="00CD4F65">
              <w:rPr>
                <w:b/>
                <w:bCs/>
              </w:rPr>
              <w:t>Organization</w:t>
            </w:r>
          </w:p>
        </w:tc>
        <w:tc>
          <w:tcPr>
            <w:tcW w:w="1669" w:type="dxa"/>
          </w:tcPr>
          <w:p w14:paraId="611CF20A" w14:textId="1753D459" w:rsidR="00CD4F65" w:rsidRPr="00CD4F65" w:rsidRDefault="00CD4F65">
            <w:pPr>
              <w:rPr>
                <w:b/>
                <w:bCs/>
              </w:rPr>
            </w:pPr>
            <w:r w:rsidRPr="00CD4F65">
              <w:rPr>
                <w:b/>
                <w:bCs/>
              </w:rPr>
              <w:t>Individual(s)</w:t>
            </w:r>
          </w:p>
        </w:tc>
        <w:tc>
          <w:tcPr>
            <w:tcW w:w="4405" w:type="dxa"/>
          </w:tcPr>
          <w:p w14:paraId="01AB12DF" w14:textId="5A750D8F" w:rsidR="00CD4F65" w:rsidRPr="00CD4F65" w:rsidRDefault="00CD4F65">
            <w:pPr>
              <w:rPr>
                <w:b/>
                <w:bCs/>
              </w:rPr>
            </w:pPr>
            <w:r w:rsidRPr="00CD4F65">
              <w:rPr>
                <w:b/>
                <w:bCs/>
              </w:rPr>
              <w:t>Topics</w:t>
            </w:r>
          </w:p>
        </w:tc>
      </w:tr>
      <w:tr w:rsidR="00A75866" w14:paraId="36829D73" w14:textId="77777777" w:rsidTr="000E5399">
        <w:tc>
          <w:tcPr>
            <w:tcW w:w="445" w:type="dxa"/>
          </w:tcPr>
          <w:p w14:paraId="0FCD6CD0" w14:textId="2C64B981" w:rsidR="00A75866" w:rsidRDefault="00A75866">
            <w:r>
              <w:t>1</w:t>
            </w:r>
          </w:p>
        </w:tc>
        <w:tc>
          <w:tcPr>
            <w:tcW w:w="1063" w:type="dxa"/>
          </w:tcPr>
          <w:p w14:paraId="56D42993" w14:textId="2B9ACEC5" w:rsidR="00A75866" w:rsidRDefault="00A75866">
            <w:r>
              <w:t>7/23/25</w:t>
            </w:r>
          </w:p>
        </w:tc>
        <w:tc>
          <w:tcPr>
            <w:tcW w:w="1768" w:type="dxa"/>
          </w:tcPr>
          <w:p w14:paraId="244BC738" w14:textId="0A479F20" w:rsidR="00A75866" w:rsidRDefault="00A75866">
            <w:r>
              <w:t>Waters Meet</w:t>
            </w:r>
          </w:p>
        </w:tc>
        <w:tc>
          <w:tcPr>
            <w:tcW w:w="1669" w:type="dxa"/>
          </w:tcPr>
          <w:p w14:paraId="0A266885" w14:textId="7021AAB8" w:rsidR="00A75866" w:rsidRDefault="00A75866">
            <w:r>
              <w:t>Barbara Bowman</w:t>
            </w:r>
          </w:p>
        </w:tc>
        <w:tc>
          <w:tcPr>
            <w:tcW w:w="4405" w:type="dxa"/>
          </w:tcPr>
          <w:p w14:paraId="7E845A21" w14:textId="07D852F4" w:rsidR="00A75866" w:rsidRDefault="00A75866">
            <w:r>
              <w:t xml:space="preserve">Received a call from Barbara Bowman introducing herself and her new position. She shared her past experience in social services and invited further conversation. </w:t>
            </w:r>
            <w:r w:rsidR="000E5399">
              <w:t>Ryan made r</w:t>
            </w:r>
            <w:r>
              <w:t>equest for more flexible opportunities for neighbors to engage beyond a planned morning meeting.</w:t>
            </w:r>
          </w:p>
        </w:tc>
      </w:tr>
      <w:tr w:rsidR="000E5399" w14:paraId="3B07E359" w14:textId="77777777" w:rsidTr="000E5399">
        <w:tc>
          <w:tcPr>
            <w:tcW w:w="445" w:type="dxa"/>
          </w:tcPr>
          <w:p w14:paraId="4315C810" w14:textId="7835FBD7" w:rsidR="00203A16" w:rsidRDefault="00A75866">
            <w:r>
              <w:t>2</w:t>
            </w:r>
          </w:p>
        </w:tc>
        <w:tc>
          <w:tcPr>
            <w:tcW w:w="1063" w:type="dxa"/>
          </w:tcPr>
          <w:p w14:paraId="35A8D8E4" w14:textId="4D2CFBC6" w:rsidR="00203A16" w:rsidRDefault="00203A16">
            <w:r>
              <w:t>7/28/25</w:t>
            </w:r>
          </w:p>
        </w:tc>
        <w:tc>
          <w:tcPr>
            <w:tcW w:w="1768" w:type="dxa"/>
          </w:tcPr>
          <w:p w14:paraId="29957CD2" w14:textId="6BC03F48" w:rsidR="00203A16" w:rsidRDefault="00203A16">
            <w:r>
              <w:t>City of Spokane ONS</w:t>
            </w:r>
          </w:p>
        </w:tc>
        <w:tc>
          <w:tcPr>
            <w:tcW w:w="1669" w:type="dxa"/>
          </w:tcPr>
          <w:p w14:paraId="66E23D88" w14:textId="7F083FD8" w:rsidR="00203A16" w:rsidRDefault="00203A16">
            <w:r>
              <w:t>Heather Hamlin, Gabrielle Ryan, Robert Thompson</w:t>
            </w:r>
          </w:p>
        </w:tc>
        <w:tc>
          <w:tcPr>
            <w:tcW w:w="4405" w:type="dxa"/>
          </w:tcPr>
          <w:p w14:paraId="105F81EC" w14:textId="04A21192" w:rsidR="00203A16" w:rsidRDefault="00203A16">
            <w:r>
              <w:t>Social media bylaw support, review &amp; research of past WHNC history</w:t>
            </w:r>
            <w:r w:rsidR="000E5399">
              <w:t>, request to extend meeting space use to 7:30pm going forward from 7:15pm.</w:t>
            </w:r>
          </w:p>
        </w:tc>
      </w:tr>
      <w:tr w:rsidR="000E5399" w14:paraId="39B3100B" w14:textId="1AFF9BAD" w:rsidTr="000E5399">
        <w:tc>
          <w:tcPr>
            <w:tcW w:w="445" w:type="dxa"/>
          </w:tcPr>
          <w:p w14:paraId="3FEEC819" w14:textId="3395474A" w:rsidR="00CD4F65" w:rsidRDefault="00A75866">
            <w:r>
              <w:t>3</w:t>
            </w:r>
          </w:p>
        </w:tc>
        <w:tc>
          <w:tcPr>
            <w:tcW w:w="1063" w:type="dxa"/>
          </w:tcPr>
          <w:p w14:paraId="467F4CAF" w14:textId="7B34EA4A" w:rsidR="00CD4F65" w:rsidRDefault="00CD4F65">
            <w:r>
              <w:t>7/30/25</w:t>
            </w:r>
          </w:p>
        </w:tc>
        <w:tc>
          <w:tcPr>
            <w:tcW w:w="1768" w:type="dxa"/>
          </w:tcPr>
          <w:p w14:paraId="1CADBB1B" w14:textId="21F549AB" w:rsidR="00CD4F65" w:rsidRDefault="00CD4F65">
            <w:r>
              <w:t>Waters Meet</w:t>
            </w:r>
          </w:p>
        </w:tc>
        <w:tc>
          <w:tcPr>
            <w:tcW w:w="1669" w:type="dxa"/>
          </w:tcPr>
          <w:p w14:paraId="4FEFB301" w14:textId="50ACEA37" w:rsidR="00CD4F65" w:rsidRDefault="00CD4F65">
            <w:r>
              <w:t>Zeke Smith</w:t>
            </w:r>
          </w:p>
        </w:tc>
        <w:tc>
          <w:tcPr>
            <w:tcW w:w="4405" w:type="dxa"/>
          </w:tcPr>
          <w:p w14:paraId="5B040B33" w14:textId="779C6A0B" w:rsidR="00CD4F65" w:rsidRDefault="00CD4F65">
            <w:r>
              <w:t>Details of morning &amp; evening info meetings</w:t>
            </w:r>
            <w:r w:rsidR="00A75866">
              <w:t xml:space="preserve"> on July 31st</w:t>
            </w:r>
            <w:r>
              <w:t>, review of neighborhood questions and timeline for answering, inquiry about locating tiny home village at Catholic Charities Catalyst property as it was heard they would not be moving forward with their tiny home plans.</w:t>
            </w:r>
            <w:r w:rsidR="000E5399">
              <w:t xml:space="preserve"> Zeke stated that decision would have to come from the City of Spokane.</w:t>
            </w:r>
          </w:p>
        </w:tc>
      </w:tr>
      <w:tr w:rsidR="000E5399" w14:paraId="39DEA71B" w14:textId="452E7BB8" w:rsidTr="000E5399">
        <w:tc>
          <w:tcPr>
            <w:tcW w:w="445" w:type="dxa"/>
          </w:tcPr>
          <w:p w14:paraId="257B584E" w14:textId="2F84D518" w:rsidR="00CD4F65" w:rsidRDefault="00A75866">
            <w:r>
              <w:t>4</w:t>
            </w:r>
          </w:p>
        </w:tc>
        <w:tc>
          <w:tcPr>
            <w:tcW w:w="1063" w:type="dxa"/>
          </w:tcPr>
          <w:p w14:paraId="07F767CE" w14:textId="0A3EAE56" w:rsidR="00CD4F65" w:rsidRDefault="00CD4F65">
            <w:r>
              <w:t>7/30/25</w:t>
            </w:r>
          </w:p>
        </w:tc>
        <w:tc>
          <w:tcPr>
            <w:tcW w:w="1768" w:type="dxa"/>
          </w:tcPr>
          <w:p w14:paraId="3955F78B" w14:textId="39F582BE" w:rsidR="00CD4F65" w:rsidRDefault="00CD4F65">
            <w:r>
              <w:t>Catholic Charities</w:t>
            </w:r>
          </w:p>
        </w:tc>
        <w:tc>
          <w:tcPr>
            <w:tcW w:w="1669" w:type="dxa"/>
          </w:tcPr>
          <w:p w14:paraId="320661B2" w14:textId="31331C6C" w:rsidR="00CD4F65" w:rsidRDefault="00CD4F65">
            <w:r>
              <w:t>Jonathan Mallahan</w:t>
            </w:r>
          </w:p>
        </w:tc>
        <w:tc>
          <w:tcPr>
            <w:tcW w:w="4405" w:type="dxa"/>
          </w:tcPr>
          <w:p w14:paraId="234D13AB" w14:textId="467A3B32" w:rsidR="00CD4F65" w:rsidRDefault="00CD4F65">
            <w:r>
              <w:t xml:space="preserve">Possibility of locating pallet home village to Catalyst property. </w:t>
            </w:r>
            <w:r w:rsidR="000E5399">
              <w:t xml:space="preserve">Stated that could be difficult but was a possibility. </w:t>
            </w:r>
          </w:p>
        </w:tc>
      </w:tr>
      <w:tr w:rsidR="000E5399" w14:paraId="7B72A1E3" w14:textId="5EF84815" w:rsidTr="000E5399">
        <w:tc>
          <w:tcPr>
            <w:tcW w:w="445" w:type="dxa"/>
          </w:tcPr>
          <w:p w14:paraId="2DBD8E8D" w14:textId="2CA81138" w:rsidR="00CD4F65" w:rsidRDefault="00A75866">
            <w:r>
              <w:t>5</w:t>
            </w:r>
          </w:p>
        </w:tc>
        <w:tc>
          <w:tcPr>
            <w:tcW w:w="1063" w:type="dxa"/>
          </w:tcPr>
          <w:p w14:paraId="5C128599" w14:textId="3D0C6223" w:rsidR="00CD4F65" w:rsidRDefault="00CD4F65">
            <w:r>
              <w:t>8/4/25</w:t>
            </w:r>
          </w:p>
        </w:tc>
        <w:tc>
          <w:tcPr>
            <w:tcW w:w="1768" w:type="dxa"/>
          </w:tcPr>
          <w:p w14:paraId="4D9C1845" w14:textId="21B9B236" w:rsidR="00CD4F65" w:rsidRDefault="00CD4F65">
            <w:r>
              <w:t>City of Spokane</w:t>
            </w:r>
          </w:p>
        </w:tc>
        <w:tc>
          <w:tcPr>
            <w:tcW w:w="1669" w:type="dxa"/>
          </w:tcPr>
          <w:p w14:paraId="785BF929" w14:textId="0B1026D9" w:rsidR="00CD4F65" w:rsidRDefault="00CD4F65">
            <w:r>
              <w:t>Dawn Kinder, CM Dillon, CM Wilkerson</w:t>
            </w:r>
          </w:p>
        </w:tc>
        <w:tc>
          <w:tcPr>
            <w:tcW w:w="4405" w:type="dxa"/>
          </w:tcPr>
          <w:p w14:paraId="75F239F9" w14:textId="1B24ED42" w:rsidR="00CD4F65" w:rsidRDefault="00CD4F65">
            <w:r>
              <w:t>Email sent inquirin</w:t>
            </w:r>
            <w:r w:rsidR="002F6E64">
              <w:t>g</w:t>
            </w:r>
            <w:r>
              <w:t xml:space="preserve"> as to the possibility of relocating the pallet home village to inside the fence of the Catalyst property given infrastructure and services are already in place at that location which would save costs, avoid </w:t>
            </w:r>
            <w:r>
              <w:lastRenderedPageBreak/>
              <w:t xml:space="preserve">concentrating services on one corner, etc. </w:t>
            </w:r>
          </w:p>
        </w:tc>
      </w:tr>
      <w:tr w:rsidR="00203A16" w14:paraId="30DF61B5" w14:textId="77777777" w:rsidTr="000E5399">
        <w:tc>
          <w:tcPr>
            <w:tcW w:w="445" w:type="dxa"/>
          </w:tcPr>
          <w:p w14:paraId="78C855F9" w14:textId="6A4FC507" w:rsidR="00203A16" w:rsidRDefault="00A75866">
            <w:r>
              <w:lastRenderedPageBreak/>
              <w:t>6</w:t>
            </w:r>
          </w:p>
        </w:tc>
        <w:tc>
          <w:tcPr>
            <w:tcW w:w="1063" w:type="dxa"/>
          </w:tcPr>
          <w:p w14:paraId="3897309C" w14:textId="0833C326" w:rsidR="00203A16" w:rsidRDefault="00203A16">
            <w:r>
              <w:t>8/4/25</w:t>
            </w:r>
          </w:p>
        </w:tc>
        <w:tc>
          <w:tcPr>
            <w:tcW w:w="1768" w:type="dxa"/>
          </w:tcPr>
          <w:p w14:paraId="1B30B3F4" w14:textId="6FC6DB5A" w:rsidR="00203A16" w:rsidRDefault="00203A16">
            <w:r>
              <w:t>City of Spokane</w:t>
            </w:r>
          </w:p>
        </w:tc>
        <w:tc>
          <w:tcPr>
            <w:tcW w:w="1669" w:type="dxa"/>
          </w:tcPr>
          <w:p w14:paraId="367464F8" w14:textId="7E1CC9DC" w:rsidR="00203A16" w:rsidRDefault="00203A16">
            <w:r>
              <w:t>Dawn Kinder</w:t>
            </w:r>
          </w:p>
        </w:tc>
        <w:tc>
          <w:tcPr>
            <w:tcW w:w="4405" w:type="dxa"/>
          </w:tcPr>
          <w:p w14:paraId="2A5242F4" w14:textId="6FD32440" w:rsidR="00203A16" w:rsidRDefault="00203A16">
            <w:r>
              <w:t>Inquiry as to current “Good Neighbor Agreement” templates (only one fully implemented to date for TRAC) due to new ordinance only recently coming into effect &amp; suggestions on other neighborhoods to learn from. Chief Garry Park &amp; South Perry Neighborhoods suggested as examples to learn from</w:t>
            </w:r>
          </w:p>
        </w:tc>
      </w:tr>
      <w:tr w:rsidR="000E5399" w14:paraId="475BB9E2" w14:textId="68A6F852" w:rsidTr="000E5399">
        <w:tc>
          <w:tcPr>
            <w:tcW w:w="445" w:type="dxa"/>
          </w:tcPr>
          <w:p w14:paraId="77B97560" w14:textId="5A303BD0" w:rsidR="00CD4F65" w:rsidRDefault="00A75866">
            <w:r>
              <w:t>7</w:t>
            </w:r>
          </w:p>
        </w:tc>
        <w:tc>
          <w:tcPr>
            <w:tcW w:w="1063" w:type="dxa"/>
          </w:tcPr>
          <w:p w14:paraId="20D8E414" w14:textId="66CA8996" w:rsidR="00CD4F65" w:rsidRDefault="00CD4F65">
            <w:r>
              <w:t>July &amp; August</w:t>
            </w:r>
          </w:p>
        </w:tc>
        <w:tc>
          <w:tcPr>
            <w:tcW w:w="1768" w:type="dxa"/>
          </w:tcPr>
          <w:p w14:paraId="3BB2A503" w14:textId="64CC1B25" w:rsidR="00CD4F65" w:rsidRDefault="00CD4F65">
            <w:r>
              <w:t>Neighbor Meetings</w:t>
            </w:r>
            <w:r w:rsidR="00203A16">
              <w:t>/Calls</w:t>
            </w:r>
          </w:p>
        </w:tc>
        <w:tc>
          <w:tcPr>
            <w:tcW w:w="1669" w:type="dxa"/>
          </w:tcPr>
          <w:p w14:paraId="4F714472" w14:textId="78CF542D" w:rsidR="00CD4F65" w:rsidRDefault="00203A16">
            <w:r>
              <w:t>2</w:t>
            </w:r>
            <w:r w:rsidR="000E5399">
              <w:t>6</w:t>
            </w:r>
            <w:r>
              <w:t xml:space="preserve"> conversations with</w:t>
            </w:r>
            <w:r w:rsidR="00CD4F65">
              <w:t xml:space="preserve"> neighbors</w:t>
            </w:r>
            <w:r>
              <w:t>/residents of WHN</w:t>
            </w:r>
            <w:r w:rsidR="00CD4F65">
              <w:t xml:space="preserve"> </w:t>
            </w:r>
          </w:p>
        </w:tc>
        <w:tc>
          <w:tcPr>
            <w:tcW w:w="4405" w:type="dxa"/>
          </w:tcPr>
          <w:p w14:paraId="68914D29" w14:textId="2D61CFA5" w:rsidR="00CD4F65" w:rsidRDefault="00CD4F65">
            <w:r>
              <w:t>In person and phone call conversations with West Hills neighbors</w:t>
            </w:r>
            <w:r w:rsidR="000E5399">
              <w:t xml:space="preserve"> about: </w:t>
            </w:r>
            <w:r>
              <w:t xml:space="preserve">concerns, ideas, thoughts </w:t>
            </w:r>
            <w:r w:rsidR="00203A16">
              <w:t>on the Pallet Home Shelter</w:t>
            </w:r>
            <w:r w:rsidR="000E5399">
              <w:t xml:space="preserve">; </w:t>
            </w:r>
            <w:r w:rsidR="00203A16">
              <w:t>conversations about neighborhood fire risks and preparedness</w:t>
            </w:r>
            <w:r w:rsidR="000E5399">
              <w:t>;</w:t>
            </w:r>
            <w:r w:rsidR="00203A16">
              <w:t xml:space="preserve"> Greenwood/Indian Canyon closure</w:t>
            </w:r>
          </w:p>
        </w:tc>
      </w:tr>
      <w:tr w:rsidR="000E5399" w14:paraId="18E6C1EE" w14:textId="294A02E6" w:rsidTr="000E5399">
        <w:tc>
          <w:tcPr>
            <w:tcW w:w="445" w:type="dxa"/>
          </w:tcPr>
          <w:p w14:paraId="24F6DF3B" w14:textId="47C3B376" w:rsidR="00CD4F65" w:rsidRDefault="00CD4F65"/>
        </w:tc>
        <w:tc>
          <w:tcPr>
            <w:tcW w:w="1063" w:type="dxa"/>
          </w:tcPr>
          <w:p w14:paraId="2DDEA2E4" w14:textId="77777777" w:rsidR="00CD4F65" w:rsidRDefault="00CD4F65"/>
        </w:tc>
        <w:tc>
          <w:tcPr>
            <w:tcW w:w="1768" w:type="dxa"/>
          </w:tcPr>
          <w:p w14:paraId="511BD11B" w14:textId="77777777" w:rsidR="00CD4F65" w:rsidRDefault="00CD4F65"/>
        </w:tc>
        <w:tc>
          <w:tcPr>
            <w:tcW w:w="1669" w:type="dxa"/>
          </w:tcPr>
          <w:p w14:paraId="3331CF34" w14:textId="77777777" w:rsidR="00CD4F65" w:rsidRDefault="00CD4F65"/>
        </w:tc>
        <w:tc>
          <w:tcPr>
            <w:tcW w:w="4405" w:type="dxa"/>
          </w:tcPr>
          <w:p w14:paraId="175E05B4" w14:textId="77777777" w:rsidR="00CD4F65" w:rsidRDefault="00CD4F65"/>
        </w:tc>
      </w:tr>
      <w:tr w:rsidR="000E5399" w14:paraId="415AF35A" w14:textId="0D0D7D32" w:rsidTr="000E5399">
        <w:tc>
          <w:tcPr>
            <w:tcW w:w="445" w:type="dxa"/>
          </w:tcPr>
          <w:p w14:paraId="67AA783D" w14:textId="39C8A37D" w:rsidR="00CD4F65" w:rsidRDefault="00CD4F65"/>
        </w:tc>
        <w:tc>
          <w:tcPr>
            <w:tcW w:w="1063" w:type="dxa"/>
          </w:tcPr>
          <w:p w14:paraId="11D39F85" w14:textId="77777777" w:rsidR="00CD4F65" w:rsidRDefault="00CD4F65"/>
        </w:tc>
        <w:tc>
          <w:tcPr>
            <w:tcW w:w="1768" w:type="dxa"/>
          </w:tcPr>
          <w:p w14:paraId="7E9B5F3E" w14:textId="77777777" w:rsidR="00CD4F65" w:rsidRDefault="00CD4F65"/>
        </w:tc>
        <w:tc>
          <w:tcPr>
            <w:tcW w:w="1669" w:type="dxa"/>
          </w:tcPr>
          <w:p w14:paraId="29A1DAFD" w14:textId="77777777" w:rsidR="00CD4F65" w:rsidRDefault="00CD4F65"/>
        </w:tc>
        <w:tc>
          <w:tcPr>
            <w:tcW w:w="4405" w:type="dxa"/>
          </w:tcPr>
          <w:p w14:paraId="5988A07C" w14:textId="77777777" w:rsidR="00CD4F65" w:rsidRDefault="00CD4F65"/>
        </w:tc>
      </w:tr>
      <w:tr w:rsidR="000E5399" w14:paraId="66C21ABF" w14:textId="69818D29" w:rsidTr="000E5399">
        <w:tc>
          <w:tcPr>
            <w:tcW w:w="445" w:type="dxa"/>
          </w:tcPr>
          <w:p w14:paraId="59369C8F" w14:textId="6134C248" w:rsidR="00CD4F65" w:rsidRDefault="00CD4F65"/>
        </w:tc>
        <w:tc>
          <w:tcPr>
            <w:tcW w:w="1063" w:type="dxa"/>
          </w:tcPr>
          <w:p w14:paraId="1F210420" w14:textId="77777777" w:rsidR="00CD4F65" w:rsidRDefault="00CD4F65"/>
        </w:tc>
        <w:tc>
          <w:tcPr>
            <w:tcW w:w="1768" w:type="dxa"/>
          </w:tcPr>
          <w:p w14:paraId="50A801DC" w14:textId="77777777" w:rsidR="00CD4F65" w:rsidRDefault="00CD4F65"/>
        </w:tc>
        <w:tc>
          <w:tcPr>
            <w:tcW w:w="1669" w:type="dxa"/>
          </w:tcPr>
          <w:p w14:paraId="585C44A4" w14:textId="77777777" w:rsidR="00CD4F65" w:rsidRDefault="00CD4F65"/>
        </w:tc>
        <w:tc>
          <w:tcPr>
            <w:tcW w:w="4405" w:type="dxa"/>
          </w:tcPr>
          <w:p w14:paraId="2A114F1D" w14:textId="77777777" w:rsidR="00CD4F65" w:rsidRDefault="00CD4F65"/>
        </w:tc>
      </w:tr>
      <w:tr w:rsidR="000E5399" w14:paraId="45CC368A" w14:textId="7514D09E" w:rsidTr="000E5399">
        <w:tc>
          <w:tcPr>
            <w:tcW w:w="445" w:type="dxa"/>
          </w:tcPr>
          <w:p w14:paraId="3F89030E" w14:textId="400E361F" w:rsidR="00CD4F65" w:rsidRDefault="00CD4F65"/>
        </w:tc>
        <w:tc>
          <w:tcPr>
            <w:tcW w:w="1063" w:type="dxa"/>
          </w:tcPr>
          <w:p w14:paraId="0646F89F" w14:textId="77777777" w:rsidR="00CD4F65" w:rsidRDefault="00CD4F65"/>
        </w:tc>
        <w:tc>
          <w:tcPr>
            <w:tcW w:w="1768" w:type="dxa"/>
          </w:tcPr>
          <w:p w14:paraId="6BBC98A4" w14:textId="77777777" w:rsidR="00CD4F65" w:rsidRDefault="00CD4F65"/>
        </w:tc>
        <w:tc>
          <w:tcPr>
            <w:tcW w:w="1669" w:type="dxa"/>
          </w:tcPr>
          <w:p w14:paraId="3D38C437" w14:textId="77777777" w:rsidR="00CD4F65" w:rsidRDefault="00CD4F65"/>
        </w:tc>
        <w:tc>
          <w:tcPr>
            <w:tcW w:w="4405" w:type="dxa"/>
          </w:tcPr>
          <w:p w14:paraId="3A94295F" w14:textId="77777777" w:rsidR="00CD4F65" w:rsidRDefault="00CD4F65"/>
        </w:tc>
      </w:tr>
      <w:tr w:rsidR="000E5399" w14:paraId="0C762511" w14:textId="6103F19C" w:rsidTr="000E5399">
        <w:tc>
          <w:tcPr>
            <w:tcW w:w="445" w:type="dxa"/>
          </w:tcPr>
          <w:p w14:paraId="46552DB0" w14:textId="7C3F27AA" w:rsidR="00CD4F65" w:rsidRDefault="00CD4F65"/>
        </w:tc>
        <w:tc>
          <w:tcPr>
            <w:tcW w:w="1063" w:type="dxa"/>
          </w:tcPr>
          <w:p w14:paraId="4CC6A5CF" w14:textId="77777777" w:rsidR="00CD4F65" w:rsidRDefault="00CD4F65"/>
        </w:tc>
        <w:tc>
          <w:tcPr>
            <w:tcW w:w="1768" w:type="dxa"/>
          </w:tcPr>
          <w:p w14:paraId="7BD3CD1D" w14:textId="77777777" w:rsidR="00CD4F65" w:rsidRDefault="00CD4F65"/>
        </w:tc>
        <w:tc>
          <w:tcPr>
            <w:tcW w:w="1669" w:type="dxa"/>
          </w:tcPr>
          <w:p w14:paraId="0770C65A" w14:textId="77777777" w:rsidR="00CD4F65" w:rsidRDefault="00CD4F65"/>
        </w:tc>
        <w:tc>
          <w:tcPr>
            <w:tcW w:w="4405" w:type="dxa"/>
          </w:tcPr>
          <w:p w14:paraId="6F58CE2D" w14:textId="77777777" w:rsidR="00CD4F65" w:rsidRDefault="00CD4F65"/>
        </w:tc>
      </w:tr>
    </w:tbl>
    <w:p w14:paraId="7D0576C2" w14:textId="688781CC" w:rsidR="00CD4F65" w:rsidRDefault="00CD4F65"/>
    <w:sectPr w:rsidR="00CD4F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F65"/>
    <w:rsid w:val="000E5399"/>
    <w:rsid w:val="00203A16"/>
    <w:rsid w:val="002F6E64"/>
    <w:rsid w:val="003F453D"/>
    <w:rsid w:val="00A75866"/>
    <w:rsid w:val="00CD4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F378D"/>
  <w15:chartTrackingRefBased/>
  <w15:docId w15:val="{DE3C3357-2C34-41BF-90DB-1DD61519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F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4F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4F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4F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4F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4F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F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F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F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F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4F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4F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4F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4F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4F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F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F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F65"/>
    <w:rPr>
      <w:rFonts w:eastAsiaTheme="majorEastAsia" w:cstheme="majorBidi"/>
      <w:color w:val="272727" w:themeColor="text1" w:themeTint="D8"/>
    </w:rPr>
  </w:style>
  <w:style w:type="paragraph" w:styleId="Title">
    <w:name w:val="Title"/>
    <w:basedOn w:val="Normal"/>
    <w:next w:val="Normal"/>
    <w:link w:val="TitleChar"/>
    <w:uiPriority w:val="10"/>
    <w:qFormat/>
    <w:rsid w:val="00CD4F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F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F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F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F65"/>
    <w:pPr>
      <w:spacing w:before="160"/>
      <w:jc w:val="center"/>
    </w:pPr>
    <w:rPr>
      <w:i/>
      <w:iCs/>
      <w:color w:val="404040" w:themeColor="text1" w:themeTint="BF"/>
    </w:rPr>
  </w:style>
  <w:style w:type="character" w:customStyle="1" w:styleId="QuoteChar">
    <w:name w:val="Quote Char"/>
    <w:basedOn w:val="DefaultParagraphFont"/>
    <w:link w:val="Quote"/>
    <w:uiPriority w:val="29"/>
    <w:rsid w:val="00CD4F65"/>
    <w:rPr>
      <w:i/>
      <w:iCs/>
      <w:color w:val="404040" w:themeColor="text1" w:themeTint="BF"/>
    </w:rPr>
  </w:style>
  <w:style w:type="paragraph" w:styleId="ListParagraph">
    <w:name w:val="List Paragraph"/>
    <w:basedOn w:val="Normal"/>
    <w:uiPriority w:val="34"/>
    <w:qFormat/>
    <w:rsid w:val="00CD4F65"/>
    <w:pPr>
      <w:ind w:left="720"/>
      <w:contextualSpacing/>
    </w:pPr>
  </w:style>
  <w:style w:type="character" w:styleId="IntenseEmphasis">
    <w:name w:val="Intense Emphasis"/>
    <w:basedOn w:val="DefaultParagraphFont"/>
    <w:uiPriority w:val="21"/>
    <w:qFormat/>
    <w:rsid w:val="00CD4F65"/>
    <w:rPr>
      <w:i/>
      <w:iCs/>
      <w:color w:val="0F4761" w:themeColor="accent1" w:themeShade="BF"/>
    </w:rPr>
  </w:style>
  <w:style w:type="paragraph" w:styleId="IntenseQuote">
    <w:name w:val="Intense Quote"/>
    <w:basedOn w:val="Normal"/>
    <w:next w:val="Normal"/>
    <w:link w:val="IntenseQuoteChar"/>
    <w:uiPriority w:val="30"/>
    <w:qFormat/>
    <w:rsid w:val="00CD4F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4F65"/>
    <w:rPr>
      <w:i/>
      <w:iCs/>
      <w:color w:val="0F4761" w:themeColor="accent1" w:themeShade="BF"/>
    </w:rPr>
  </w:style>
  <w:style w:type="character" w:styleId="IntenseReference">
    <w:name w:val="Intense Reference"/>
    <w:basedOn w:val="DefaultParagraphFont"/>
    <w:uiPriority w:val="32"/>
    <w:qFormat/>
    <w:rsid w:val="00CD4F65"/>
    <w:rPr>
      <w:b/>
      <w:bCs/>
      <w:smallCaps/>
      <w:color w:val="0F4761" w:themeColor="accent1" w:themeShade="BF"/>
      <w:spacing w:val="5"/>
    </w:rPr>
  </w:style>
  <w:style w:type="table" w:styleId="TableGrid">
    <w:name w:val="Table Grid"/>
    <w:basedOn w:val="TableNormal"/>
    <w:uiPriority w:val="39"/>
    <w:rsid w:val="00CD4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344</Words>
  <Characters>1872</Characters>
  <Application>Microsoft Office Word</Application>
  <DocSecurity>0</DocSecurity>
  <Lines>27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Oelrich</dc:creator>
  <cp:keywords/>
  <dc:description/>
  <cp:lastModifiedBy>Ryan Oelrich</cp:lastModifiedBy>
  <cp:revision>2</cp:revision>
  <dcterms:created xsi:type="dcterms:W3CDTF">2025-08-12T14:46:00Z</dcterms:created>
  <dcterms:modified xsi:type="dcterms:W3CDTF">2025-08-13T16:31:00Z</dcterms:modified>
</cp:coreProperties>
</file>